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70" w:rsidRDefault="000A3C70" w:rsidP="000A3C70">
      <w:pPr>
        <w:pStyle w:val="Default"/>
        <w:ind w:left="5670"/>
        <w:jc w:val="center"/>
        <w:rPr>
          <w:sz w:val="20"/>
          <w:szCs w:val="20"/>
        </w:rPr>
      </w:pPr>
      <w:r>
        <w:rPr>
          <w:sz w:val="20"/>
          <w:szCs w:val="20"/>
        </w:rPr>
        <w:t>Приложение № 1</w:t>
      </w:r>
    </w:p>
    <w:p w:rsidR="00D1304F" w:rsidRDefault="000A3C70" w:rsidP="000A3C70">
      <w:pPr>
        <w:pStyle w:val="Default"/>
        <w:ind w:left="5670"/>
        <w:jc w:val="center"/>
        <w:rPr>
          <w:sz w:val="20"/>
          <w:szCs w:val="20"/>
        </w:rPr>
      </w:pPr>
      <w:r>
        <w:rPr>
          <w:sz w:val="20"/>
          <w:szCs w:val="20"/>
        </w:rPr>
        <w:t>к Порядку прохождения процедуры добровольной аккредитации потенциальных поставщиков/подрядчиков в Группе Компаний АО «Зарубежнефть»</w:t>
      </w:r>
    </w:p>
    <w:p w:rsidR="000A3C70" w:rsidRDefault="000A3C70" w:rsidP="000A3C70">
      <w:pPr>
        <w:rPr>
          <w:sz w:val="20"/>
          <w:szCs w:val="20"/>
        </w:rPr>
      </w:pPr>
    </w:p>
    <w:p w:rsidR="000A3C70" w:rsidRDefault="000A3C70" w:rsidP="000A3C70">
      <w:pPr>
        <w:pStyle w:val="Default"/>
      </w:pPr>
    </w:p>
    <w:p w:rsidR="000A3C70" w:rsidRDefault="000A3C70" w:rsidP="00565CB5">
      <w:pPr>
        <w:pStyle w:val="Default"/>
        <w:jc w:val="center"/>
        <w:rPr>
          <w:b/>
          <w:bCs/>
          <w:sz w:val="22"/>
          <w:szCs w:val="22"/>
        </w:rPr>
      </w:pPr>
      <w:r>
        <w:rPr>
          <w:b/>
          <w:bCs/>
          <w:sz w:val="22"/>
          <w:szCs w:val="22"/>
        </w:rPr>
        <w:t>ТРЕБОВАНИЯ К СОДЕРЖАНИЮ И ФОРМАТУ</w:t>
      </w:r>
      <w:r>
        <w:rPr>
          <w:b/>
          <w:bCs/>
          <w:sz w:val="22"/>
          <w:szCs w:val="22"/>
        </w:rPr>
        <w:br/>
        <w:t>ОФОРМЛЕНИЯ ПРЕДСТАВЛЯЕМОЙ ИНФОРМАЦИИ</w:t>
      </w:r>
    </w:p>
    <w:p w:rsidR="000A3C70" w:rsidRDefault="000A3C70" w:rsidP="00565CB5">
      <w:pPr>
        <w:pStyle w:val="Default"/>
        <w:jc w:val="center"/>
        <w:rPr>
          <w:sz w:val="22"/>
          <w:szCs w:val="22"/>
        </w:rPr>
      </w:pPr>
    </w:p>
    <w:p w:rsidR="00565CB5" w:rsidRDefault="00565CB5" w:rsidP="00565CB5">
      <w:pPr>
        <w:pStyle w:val="Default"/>
        <w:jc w:val="center"/>
        <w:rPr>
          <w:sz w:val="22"/>
          <w:szCs w:val="22"/>
        </w:rPr>
      </w:pPr>
    </w:p>
    <w:p w:rsidR="000A3C70" w:rsidRDefault="000A3C70" w:rsidP="00565CB5">
      <w:pPr>
        <w:pStyle w:val="Default"/>
        <w:spacing w:line="360" w:lineRule="auto"/>
        <w:ind w:firstLine="708"/>
        <w:jc w:val="both"/>
        <w:rPr>
          <w:sz w:val="22"/>
          <w:szCs w:val="22"/>
        </w:rPr>
      </w:pPr>
      <w:r>
        <w:rPr>
          <w:sz w:val="22"/>
          <w:szCs w:val="22"/>
        </w:rPr>
        <w:t xml:space="preserve">1. Перечень документов, предоставляемых потенциальными партнерами в рамках проведения конкурентной и неконкурентной закупки, аккредитации. </w:t>
      </w:r>
    </w:p>
    <w:p w:rsidR="000A3C70" w:rsidRDefault="000A3C70" w:rsidP="00565CB5">
      <w:pPr>
        <w:pStyle w:val="Default"/>
        <w:spacing w:line="360" w:lineRule="auto"/>
        <w:ind w:firstLine="708"/>
        <w:jc w:val="both"/>
        <w:rPr>
          <w:sz w:val="22"/>
          <w:szCs w:val="22"/>
        </w:rPr>
      </w:pPr>
      <w:r>
        <w:rPr>
          <w:sz w:val="22"/>
          <w:szCs w:val="22"/>
        </w:rPr>
        <w:t xml:space="preserve">1.1. Общие документы. </w:t>
      </w:r>
    </w:p>
    <w:p w:rsidR="000A3C70" w:rsidRDefault="000A3C70" w:rsidP="00565CB5">
      <w:pPr>
        <w:pStyle w:val="Default"/>
        <w:spacing w:line="360" w:lineRule="auto"/>
        <w:ind w:firstLine="708"/>
        <w:jc w:val="both"/>
        <w:rPr>
          <w:sz w:val="22"/>
          <w:szCs w:val="22"/>
        </w:rPr>
      </w:pPr>
      <w:r>
        <w:rPr>
          <w:sz w:val="22"/>
          <w:szCs w:val="22"/>
        </w:rPr>
        <w:t>Всеми участниками независимо от статуса и организационно-правовой формы в обязательном порядке должны быть пред</w:t>
      </w:r>
      <w:bookmarkStart w:id="0" w:name="_GoBack"/>
      <w:bookmarkEnd w:id="0"/>
      <w:r>
        <w:rPr>
          <w:sz w:val="22"/>
          <w:szCs w:val="22"/>
        </w:rPr>
        <w:t xml:space="preserve">оставлены следующие документы: </w:t>
      </w:r>
    </w:p>
    <w:p w:rsidR="000A3C70" w:rsidRDefault="000A3C70" w:rsidP="00565CB5">
      <w:pPr>
        <w:pStyle w:val="Default"/>
        <w:numPr>
          <w:ilvl w:val="0"/>
          <w:numId w:val="12"/>
        </w:numPr>
        <w:spacing w:line="360" w:lineRule="auto"/>
        <w:ind w:left="426" w:hanging="426"/>
        <w:jc w:val="both"/>
        <w:rPr>
          <w:sz w:val="22"/>
          <w:szCs w:val="22"/>
        </w:rPr>
      </w:pPr>
      <w:r>
        <w:rPr>
          <w:sz w:val="22"/>
          <w:szCs w:val="22"/>
        </w:rPr>
        <w:t xml:space="preserve">анкета </w:t>
      </w:r>
      <w:r w:rsidR="007B2C77">
        <w:rPr>
          <w:sz w:val="22"/>
          <w:szCs w:val="22"/>
        </w:rPr>
        <w:t xml:space="preserve">участника </w:t>
      </w:r>
      <w:r>
        <w:rPr>
          <w:sz w:val="22"/>
          <w:szCs w:val="22"/>
        </w:rPr>
        <w:t>по установленной форме;</w:t>
      </w:r>
    </w:p>
    <w:p w:rsidR="000A3C70" w:rsidRPr="00A77319" w:rsidRDefault="000A3C70" w:rsidP="00565CB5">
      <w:pPr>
        <w:pStyle w:val="Default"/>
        <w:numPr>
          <w:ilvl w:val="0"/>
          <w:numId w:val="12"/>
        </w:numPr>
        <w:spacing w:line="360" w:lineRule="auto"/>
        <w:ind w:left="426" w:hanging="426"/>
        <w:jc w:val="both"/>
        <w:rPr>
          <w:color w:val="auto"/>
          <w:sz w:val="22"/>
          <w:szCs w:val="22"/>
        </w:rPr>
      </w:pPr>
      <w:r w:rsidRPr="00A77319">
        <w:rPr>
          <w:color w:val="auto"/>
          <w:sz w:val="22"/>
          <w:szCs w:val="22"/>
        </w:rPr>
        <w:t xml:space="preserve">декларация о присоединении к Кодексу </w:t>
      </w:r>
      <w:r w:rsidR="00565CB5" w:rsidRPr="00A77319">
        <w:rPr>
          <w:color w:val="auto"/>
          <w:sz w:val="22"/>
          <w:szCs w:val="22"/>
        </w:rPr>
        <w:t>поставщика Гр</w:t>
      </w:r>
      <w:r w:rsidR="00A77319" w:rsidRPr="00A77319">
        <w:rPr>
          <w:color w:val="auto"/>
          <w:sz w:val="22"/>
          <w:szCs w:val="22"/>
        </w:rPr>
        <w:t>уппы компаний</w:t>
      </w:r>
      <w:r w:rsidR="00A77319" w:rsidRPr="00A77319">
        <w:rPr>
          <w:color w:val="auto"/>
          <w:sz w:val="22"/>
          <w:szCs w:val="22"/>
        </w:rPr>
        <w:br/>
        <w:t>АО «Зарубежнефть»</w:t>
      </w:r>
      <w:r w:rsidR="00565CB5" w:rsidRPr="00A77319">
        <w:rPr>
          <w:color w:val="auto"/>
          <w:sz w:val="22"/>
          <w:szCs w:val="22"/>
        </w:rPr>
        <w:t>.</w:t>
      </w:r>
      <w:r w:rsidRPr="00A77319">
        <w:rPr>
          <w:color w:val="auto"/>
          <w:sz w:val="22"/>
          <w:szCs w:val="22"/>
        </w:rPr>
        <w:t xml:space="preserve">  </w:t>
      </w:r>
    </w:p>
    <w:p w:rsidR="000A3C70" w:rsidRDefault="000A3C70" w:rsidP="00565CB5">
      <w:pPr>
        <w:pStyle w:val="Default"/>
        <w:spacing w:line="360" w:lineRule="auto"/>
        <w:ind w:firstLine="708"/>
        <w:jc w:val="both"/>
        <w:rPr>
          <w:sz w:val="22"/>
          <w:szCs w:val="22"/>
        </w:rPr>
      </w:pPr>
      <w:r>
        <w:rPr>
          <w:sz w:val="22"/>
          <w:szCs w:val="22"/>
        </w:rPr>
        <w:t xml:space="preserve">1.2. Прилагаемый к анкете перечень квалификационной документации. </w:t>
      </w:r>
    </w:p>
    <w:p w:rsidR="000A3C70" w:rsidRDefault="000A3C70" w:rsidP="00565CB5">
      <w:pPr>
        <w:pStyle w:val="Default"/>
        <w:spacing w:line="360" w:lineRule="auto"/>
        <w:ind w:firstLine="708"/>
        <w:jc w:val="both"/>
        <w:rPr>
          <w:sz w:val="22"/>
          <w:szCs w:val="22"/>
        </w:rPr>
      </w:pPr>
      <w:r>
        <w:rPr>
          <w:sz w:val="22"/>
          <w:szCs w:val="22"/>
        </w:rPr>
        <w:t xml:space="preserve">В составе приложений к анкете Участники закупки в зависимости от статуса и организационно-правовой формы представляют следующие документы: </w:t>
      </w:r>
    </w:p>
    <w:p w:rsidR="000A3C70" w:rsidRDefault="000A3C70" w:rsidP="00565CB5">
      <w:pPr>
        <w:pStyle w:val="Default"/>
        <w:spacing w:line="360" w:lineRule="auto"/>
        <w:ind w:firstLine="708"/>
        <w:jc w:val="both"/>
        <w:rPr>
          <w:sz w:val="22"/>
          <w:szCs w:val="22"/>
        </w:rPr>
      </w:pPr>
      <w:r>
        <w:rPr>
          <w:sz w:val="22"/>
          <w:szCs w:val="22"/>
        </w:rPr>
        <w:t xml:space="preserve">Для резидентов РФ – юридических лиц: </w:t>
      </w:r>
    </w:p>
    <w:p w:rsidR="000A3C70" w:rsidRDefault="000A3C70" w:rsidP="00565CB5">
      <w:pPr>
        <w:pStyle w:val="Default"/>
        <w:numPr>
          <w:ilvl w:val="0"/>
          <w:numId w:val="12"/>
        </w:numPr>
        <w:spacing w:line="360" w:lineRule="auto"/>
        <w:ind w:left="426" w:hanging="426"/>
        <w:jc w:val="both"/>
        <w:rPr>
          <w:sz w:val="22"/>
          <w:szCs w:val="22"/>
        </w:rPr>
      </w:pPr>
      <w:r>
        <w:rPr>
          <w:sz w:val="22"/>
          <w:szCs w:val="22"/>
        </w:rPr>
        <w:t xml:space="preserve">копию Устава; </w:t>
      </w:r>
    </w:p>
    <w:p w:rsidR="000A3C70" w:rsidRPr="009B59A0" w:rsidRDefault="000A3C70" w:rsidP="00565CB5">
      <w:pPr>
        <w:pStyle w:val="Default"/>
        <w:numPr>
          <w:ilvl w:val="0"/>
          <w:numId w:val="12"/>
        </w:numPr>
        <w:spacing w:line="360" w:lineRule="auto"/>
        <w:ind w:left="426" w:hanging="426"/>
        <w:jc w:val="both"/>
        <w:rPr>
          <w:sz w:val="22"/>
          <w:szCs w:val="22"/>
        </w:rPr>
      </w:pPr>
      <w:r w:rsidRPr="009B59A0">
        <w:rPr>
          <w:sz w:val="22"/>
          <w:szCs w:val="22"/>
        </w:rPr>
        <w:t>подтверждение участника закупки наличия согласия на обработку персональных данных и направления уведомлений об осуществлении обработки</w:t>
      </w:r>
      <w:r w:rsidR="00565CB5" w:rsidRPr="009B59A0">
        <w:rPr>
          <w:sz w:val="22"/>
          <w:szCs w:val="22"/>
        </w:rPr>
        <w:t xml:space="preserve"> персональных данных</w:t>
      </w:r>
      <w:r w:rsidRPr="009B59A0">
        <w:rPr>
          <w:sz w:val="22"/>
          <w:szCs w:val="22"/>
        </w:rPr>
        <w:t xml:space="preserve">; </w:t>
      </w:r>
    </w:p>
    <w:p w:rsidR="000A3C70" w:rsidRDefault="000A3C70" w:rsidP="00565CB5">
      <w:pPr>
        <w:pStyle w:val="Default"/>
        <w:numPr>
          <w:ilvl w:val="0"/>
          <w:numId w:val="12"/>
        </w:numPr>
        <w:spacing w:line="360" w:lineRule="auto"/>
        <w:ind w:left="426" w:hanging="426"/>
        <w:jc w:val="both"/>
        <w:rPr>
          <w:sz w:val="22"/>
          <w:szCs w:val="22"/>
        </w:rPr>
      </w:pPr>
      <w:r>
        <w:rPr>
          <w:sz w:val="22"/>
          <w:szCs w:val="22"/>
        </w:rPr>
        <w:t xml:space="preserve">копию документа, подтверждающего полномочия единоличного исполнительного органа и, в случае, если документы подписываются по доверенности, копию доверенности на лицо, подписывающее документы; </w:t>
      </w:r>
    </w:p>
    <w:p w:rsidR="000A3C70" w:rsidRDefault="000A3C70" w:rsidP="00565CB5">
      <w:pPr>
        <w:pStyle w:val="Default"/>
        <w:numPr>
          <w:ilvl w:val="0"/>
          <w:numId w:val="12"/>
        </w:numPr>
        <w:spacing w:line="360" w:lineRule="auto"/>
        <w:ind w:left="426" w:hanging="426"/>
        <w:jc w:val="both"/>
        <w:rPr>
          <w:sz w:val="22"/>
          <w:szCs w:val="22"/>
        </w:rPr>
      </w:pPr>
      <w:r>
        <w:rPr>
          <w:sz w:val="22"/>
          <w:szCs w:val="22"/>
        </w:rPr>
        <w:t xml:space="preserve">копию расчета по страховым взносам за последний отчетный период (квартал), предшествующий дате начала срока подачи заявок на участие в закупке, в части предоставления сведений о среднесписочной численности (форма по КНД 1151111); </w:t>
      </w:r>
    </w:p>
    <w:p w:rsidR="000A3C70" w:rsidRDefault="000A3C70" w:rsidP="00095873">
      <w:pPr>
        <w:pStyle w:val="Default"/>
        <w:numPr>
          <w:ilvl w:val="0"/>
          <w:numId w:val="12"/>
        </w:numPr>
        <w:spacing w:line="360" w:lineRule="auto"/>
        <w:ind w:left="426" w:hanging="426"/>
        <w:jc w:val="both"/>
        <w:rPr>
          <w:sz w:val="22"/>
          <w:szCs w:val="22"/>
        </w:rPr>
      </w:pPr>
      <w:r>
        <w:rPr>
          <w:sz w:val="22"/>
          <w:szCs w:val="22"/>
        </w:rPr>
        <w:t xml:space="preserve">копию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Дата выдачи справки не более 1 (одного) месяца от даты подачи документов. </w:t>
      </w:r>
    </w:p>
    <w:p w:rsidR="000A3C70" w:rsidRDefault="000A3C70" w:rsidP="00095873">
      <w:pPr>
        <w:pStyle w:val="Default"/>
        <w:spacing w:line="360" w:lineRule="auto"/>
        <w:ind w:firstLine="708"/>
        <w:jc w:val="both"/>
        <w:rPr>
          <w:sz w:val="22"/>
          <w:szCs w:val="22"/>
        </w:rPr>
      </w:pPr>
      <w:r>
        <w:rPr>
          <w:sz w:val="22"/>
          <w:szCs w:val="22"/>
        </w:rPr>
        <w:t xml:space="preserve">Финансовая отчетность для коммерческих организаций (за последний отчетный год, и на последнюю отчетную дату (квартал) при наличии): </w:t>
      </w:r>
    </w:p>
    <w:p w:rsidR="000A3C70" w:rsidRDefault="000A3C70" w:rsidP="00095873">
      <w:pPr>
        <w:pStyle w:val="Default"/>
        <w:numPr>
          <w:ilvl w:val="0"/>
          <w:numId w:val="12"/>
        </w:numPr>
        <w:spacing w:line="360" w:lineRule="auto"/>
        <w:ind w:left="426" w:hanging="426"/>
        <w:jc w:val="both"/>
        <w:rPr>
          <w:sz w:val="22"/>
          <w:szCs w:val="22"/>
        </w:rPr>
      </w:pPr>
      <w:r>
        <w:rPr>
          <w:sz w:val="22"/>
          <w:szCs w:val="22"/>
        </w:rPr>
        <w:t xml:space="preserve">копия формы 0710001 по ОКУД – Бухгалтерский баланс; </w:t>
      </w:r>
    </w:p>
    <w:p w:rsidR="000A3C70" w:rsidRDefault="000A3C70" w:rsidP="00095873">
      <w:pPr>
        <w:pStyle w:val="Default"/>
        <w:numPr>
          <w:ilvl w:val="0"/>
          <w:numId w:val="12"/>
        </w:numPr>
        <w:spacing w:line="360" w:lineRule="auto"/>
        <w:ind w:left="426" w:hanging="426"/>
        <w:jc w:val="both"/>
        <w:rPr>
          <w:sz w:val="22"/>
          <w:szCs w:val="22"/>
        </w:rPr>
      </w:pPr>
      <w:r>
        <w:rPr>
          <w:sz w:val="22"/>
          <w:szCs w:val="22"/>
        </w:rPr>
        <w:t xml:space="preserve">копия формы 0710002 по ОКУД – Отчет о финансовых результатах; </w:t>
      </w:r>
    </w:p>
    <w:p w:rsidR="000A3C70" w:rsidRDefault="000A3C70" w:rsidP="00095873">
      <w:pPr>
        <w:pStyle w:val="Default"/>
        <w:numPr>
          <w:ilvl w:val="0"/>
          <w:numId w:val="12"/>
        </w:numPr>
        <w:spacing w:line="360" w:lineRule="auto"/>
        <w:ind w:left="426" w:hanging="426"/>
        <w:jc w:val="both"/>
        <w:rPr>
          <w:sz w:val="22"/>
          <w:szCs w:val="22"/>
        </w:rPr>
      </w:pPr>
      <w:r>
        <w:rPr>
          <w:sz w:val="22"/>
          <w:szCs w:val="22"/>
        </w:rPr>
        <w:lastRenderedPageBreak/>
        <w:t xml:space="preserve">копия формы 0710003 по ОКУД – Отчет об изменениях капитала. </w:t>
      </w:r>
    </w:p>
    <w:p w:rsidR="009B59A0" w:rsidRDefault="0056773A" w:rsidP="009B59A0">
      <w:pPr>
        <w:pStyle w:val="Default"/>
        <w:spacing w:line="360" w:lineRule="auto"/>
        <w:ind w:firstLine="708"/>
        <w:jc w:val="both"/>
        <w:rPr>
          <w:sz w:val="22"/>
          <w:szCs w:val="22"/>
        </w:rPr>
      </w:pPr>
      <w:r>
        <w:rPr>
          <w:sz w:val="22"/>
          <w:szCs w:val="22"/>
        </w:rPr>
        <w:t>При выходе на закупку филиала, представительства либо любого другого обособленного подразделения (отделения) иностранного юридического лица, подлежащего постановке на учет в налоговом органе по месту осуществления деятельности РФ, потенциальный Партнер для оценки финансового состояния предоставляет Consolidated Balance Sheet (Бухгалтерский баланс) иностранного юридического лица.</w:t>
      </w:r>
    </w:p>
    <w:p w:rsidR="009B59A0" w:rsidRPr="00A77319" w:rsidRDefault="009B59A0" w:rsidP="009B59A0">
      <w:pPr>
        <w:spacing w:after="0" w:line="360" w:lineRule="auto"/>
        <w:ind w:firstLine="709"/>
        <w:jc w:val="both"/>
        <w:rPr>
          <w:rFonts w:ascii="Tahoma" w:eastAsia="Times New Roman" w:hAnsi="Tahoma" w:cs="Tahoma"/>
        </w:rPr>
      </w:pPr>
      <w:r w:rsidRPr="00A77319">
        <w:rPr>
          <w:rFonts w:ascii="Tahoma" w:eastAsia="Times New Roman" w:hAnsi="Tahoma" w:cs="Tahoma"/>
        </w:rPr>
        <w:t>Для резидентов РФ – кредитных и финансовых организаций:</w:t>
      </w:r>
    </w:p>
    <w:p w:rsidR="009B59A0" w:rsidRPr="00A77319" w:rsidRDefault="009B59A0" w:rsidP="009B59A0">
      <w:pPr>
        <w:numPr>
          <w:ilvl w:val="0"/>
          <w:numId w:val="13"/>
        </w:numPr>
        <w:spacing w:after="0" w:line="360" w:lineRule="auto"/>
        <w:ind w:left="426" w:hanging="426"/>
        <w:jc w:val="both"/>
        <w:rPr>
          <w:rFonts w:ascii="Tahoma" w:eastAsia="Times New Roman" w:hAnsi="Tahoma" w:cs="Tahoma"/>
        </w:rPr>
      </w:pPr>
      <w:r w:rsidRPr="00A77319">
        <w:rPr>
          <w:rFonts w:ascii="Tahoma" w:eastAsia="Times New Roman" w:hAnsi="Tahoma" w:cs="Tahoma"/>
        </w:rPr>
        <w:t>копия Устава;</w:t>
      </w:r>
    </w:p>
    <w:p w:rsidR="009B59A0" w:rsidRPr="00A77319" w:rsidRDefault="009B59A0" w:rsidP="009B59A0">
      <w:pPr>
        <w:numPr>
          <w:ilvl w:val="0"/>
          <w:numId w:val="13"/>
        </w:numPr>
        <w:spacing w:after="0" w:line="360" w:lineRule="auto"/>
        <w:ind w:left="426" w:hanging="426"/>
        <w:jc w:val="both"/>
        <w:rPr>
          <w:rFonts w:ascii="Tahoma" w:eastAsia="Times New Roman" w:hAnsi="Tahoma" w:cs="Tahoma"/>
        </w:rPr>
      </w:pPr>
      <w:r w:rsidRPr="00A77319">
        <w:rPr>
          <w:rFonts w:ascii="Tahoma" w:eastAsia="Times New Roman" w:hAnsi="Tahoma" w:cs="Tahoma"/>
        </w:rPr>
        <w:t>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w:t>
      </w:r>
    </w:p>
    <w:p w:rsidR="0056773A" w:rsidRPr="00A77319" w:rsidRDefault="009B59A0" w:rsidP="009B59A0">
      <w:pPr>
        <w:numPr>
          <w:ilvl w:val="0"/>
          <w:numId w:val="13"/>
        </w:numPr>
        <w:spacing w:after="0" w:line="360" w:lineRule="auto"/>
        <w:ind w:left="426" w:hanging="426"/>
        <w:jc w:val="both"/>
        <w:rPr>
          <w:rFonts w:ascii="Tahoma" w:eastAsia="Times New Roman" w:hAnsi="Tahoma" w:cs="Tahoma"/>
        </w:rPr>
      </w:pPr>
      <w:r w:rsidRPr="00A77319">
        <w:rPr>
          <w:rFonts w:ascii="Tahoma" w:eastAsia="Times New Roman" w:hAnsi="Tahoma" w:cs="Tahoma"/>
        </w:rPr>
        <w:t>копия документа, подтверждающего полномочия единоличного исполнительного органа и, в случае если документы подписываются по доверенности, копию доверенности на лицо, подписывающее документы.</w:t>
      </w:r>
      <w:r w:rsidR="0056773A" w:rsidRPr="00A77319">
        <w:rPr>
          <w:rFonts w:ascii="Tahoma" w:eastAsia="Times New Roman" w:hAnsi="Tahoma" w:cs="Tahoma"/>
        </w:rPr>
        <w:t xml:space="preserve"> </w:t>
      </w:r>
    </w:p>
    <w:p w:rsidR="0056773A" w:rsidRPr="002D769F" w:rsidRDefault="0056773A" w:rsidP="002D769F">
      <w:pPr>
        <w:pStyle w:val="Default"/>
        <w:spacing w:line="360" w:lineRule="auto"/>
        <w:ind w:firstLine="708"/>
        <w:jc w:val="both"/>
        <w:rPr>
          <w:sz w:val="22"/>
          <w:szCs w:val="22"/>
          <w:u w:val="single"/>
        </w:rPr>
      </w:pPr>
      <w:r w:rsidRPr="002D769F">
        <w:rPr>
          <w:sz w:val="22"/>
          <w:szCs w:val="22"/>
          <w:u w:val="single"/>
        </w:rPr>
        <w:t xml:space="preserve">Для резидентов РФ – индивидуальных предпринимателей, самозанятых, физических лиц: </w:t>
      </w:r>
    </w:p>
    <w:p w:rsidR="0056773A" w:rsidRDefault="0056773A" w:rsidP="002D769F">
      <w:pPr>
        <w:pStyle w:val="Default"/>
        <w:numPr>
          <w:ilvl w:val="0"/>
          <w:numId w:val="12"/>
        </w:numPr>
        <w:spacing w:line="360" w:lineRule="auto"/>
        <w:ind w:left="426" w:hanging="426"/>
        <w:jc w:val="both"/>
        <w:rPr>
          <w:sz w:val="22"/>
          <w:szCs w:val="22"/>
        </w:rPr>
      </w:pPr>
      <w:r>
        <w:rPr>
          <w:sz w:val="22"/>
          <w:szCs w:val="22"/>
        </w:rPr>
        <w:t xml:space="preserve">копия общегражданского паспорта; </w:t>
      </w:r>
    </w:p>
    <w:p w:rsidR="0056773A" w:rsidRDefault="0056773A" w:rsidP="002D769F">
      <w:pPr>
        <w:pStyle w:val="Default"/>
        <w:numPr>
          <w:ilvl w:val="0"/>
          <w:numId w:val="12"/>
        </w:numPr>
        <w:spacing w:line="360" w:lineRule="auto"/>
        <w:ind w:left="426" w:hanging="426"/>
        <w:jc w:val="both"/>
        <w:rPr>
          <w:sz w:val="22"/>
          <w:szCs w:val="22"/>
        </w:rPr>
      </w:pPr>
      <w:r>
        <w:rPr>
          <w:sz w:val="22"/>
          <w:szCs w:val="22"/>
        </w:rPr>
        <w:t xml:space="preserve">подтверждение согласия физического лица на обработку персональных данных; </w:t>
      </w:r>
    </w:p>
    <w:p w:rsidR="0056773A" w:rsidRDefault="0056773A" w:rsidP="00C41F3B">
      <w:pPr>
        <w:pStyle w:val="Default"/>
        <w:numPr>
          <w:ilvl w:val="0"/>
          <w:numId w:val="12"/>
        </w:numPr>
        <w:spacing w:line="360" w:lineRule="auto"/>
        <w:ind w:left="426" w:hanging="426"/>
        <w:jc w:val="both"/>
        <w:rPr>
          <w:sz w:val="22"/>
          <w:szCs w:val="22"/>
        </w:rPr>
      </w:pPr>
      <w:r>
        <w:rPr>
          <w:sz w:val="22"/>
          <w:szCs w:val="22"/>
        </w:rPr>
        <w:t xml:space="preserve">копия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 Дата выдачи справки не более 1 (одного) месяца от даты подачи документов; </w:t>
      </w:r>
    </w:p>
    <w:p w:rsidR="0056773A" w:rsidRPr="00A77319" w:rsidRDefault="0056773A" w:rsidP="00C41F3B">
      <w:pPr>
        <w:pStyle w:val="Default"/>
        <w:numPr>
          <w:ilvl w:val="0"/>
          <w:numId w:val="12"/>
        </w:numPr>
        <w:spacing w:line="360" w:lineRule="auto"/>
        <w:ind w:left="426" w:hanging="426"/>
        <w:jc w:val="both"/>
        <w:rPr>
          <w:color w:val="auto"/>
          <w:sz w:val="22"/>
          <w:szCs w:val="22"/>
        </w:rPr>
      </w:pPr>
      <w:r>
        <w:rPr>
          <w:sz w:val="22"/>
          <w:szCs w:val="22"/>
        </w:rPr>
        <w:t xml:space="preserve">при наличии, копия расчета по страховым взносам за последний отчетный период (квартал), предшествующий дате начала срока подачи заявок на участие в закупке, в </w:t>
      </w:r>
      <w:r w:rsidRPr="00A77319">
        <w:rPr>
          <w:color w:val="auto"/>
          <w:sz w:val="22"/>
          <w:szCs w:val="22"/>
        </w:rPr>
        <w:t xml:space="preserve">части предоставления сведений о среднесписочной численности (форма по КНД 1151111); </w:t>
      </w:r>
    </w:p>
    <w:p w:rsidR="0056773A" w:rsidRPr="00A77319" w:rsidRDefault="009B59A0" w:rsidP="00C41F3B">
      <w:pPr>
        <w:pStyle w:val="Default"/>
        <w:numPr>
          <w:ilvl w:val="0"/>
          <w:numId w:val="12"/>
        </w:numPr>
        <w:spacing w:line="360" w:lineRule="auto"/>
        <w:ind w:left="426" w:hanging="426"/>
        <w:jc w:val="both"/>
        <w:rPr>
          <w:color w:val="auto"/>
          <w:sz w:val="22"/>
          <w:szCs w:val="22"/>
        </w:rPr>
      </w:pPr>
      <w:r w:rsidRPr="00A77319">
        <w:rPr>
          <w:color w:val="auto"/>
          <w:sz w:val="22"/>
          <w:szCs w:val="22"/>
        </w:rPr>
        <w:t xml:space="preserve">при наличии, </w:t>
      </w:r>
      <w:r w:rsidR="0056773A" w:rsidRPr="00A77319">
        <w:rPr>
          <w:color w:val="auto"/>
          <w:sz w:val="22"/>
          <w:szCs w:val="22"/>
        </w:rPr>
        <w:t xml:space="preserve">копия формы 0710001 по ОКУД – Бухгалтерский баланс (на последнюю отчетную дату (квартал)); </w:t>
      </w:r>
    </w:p>
    <w:p w:rsidR="0056773A" w:rsidRDefault="009B59A0" w:rsidP="00C41F3B">
      <w:pPr>
        <w:pStyle w:val="Default"/>
        <w:numPr>
          <w:ilvl w:val="0"/>
          <w:numId w:val="12"/>
        </w:numPr>
        <w:spacing w:line="360" w:lineRule="auto"/>
        <w:ind w:left="426" w:hanging="426"/>
        <w:jc w:val="both"/>
        <w:rPr>
          <w:sz w:val="22"/>
          <w:szCs w:val="22"/>
        </w:rPr>
      </w:pPr>
      <w:r w:rsidRPr="00A77319">
        <w:rPr>
          <w:color w:val="auto"/>
          <w:sz w:val="22"/>
          <w:szCs w:val="22"/>
        </w:rPr>
        <w:t xml:space="preserve">при наличии, </w:t>
      </w:r>
      <w:r w:rsidR="0056773A">
        <w:rPr>
          <w:sz w:val="22"/>
          <w:szCs w:val="22"/>
        </w:rPr>
        <w:t xml:space="preserve">копия формы 0710002 по ОКУД – Отчет о финансовых результатах (на последнюю отчетную дату (квартал)). </w:t>
      </w:r>
    </w:p>
    <w:p w:rsidR="0056773A" w:rsidRPr="00A77319" w:rsidRDefault="0056773A" w:rsidP="00C41F3B">
      <w:pPr>
        <w:pStyle w:val="Default"/>
        <w:spacing w:line="360" w:lineRule="auto"/>
        <w:ind w:firstLine="708"/>
        <w:jc w:val="both"/>
        <w:rPr>
          <w:color w:val="auto"/>
          <w:sz w:val="22"/>
          <w:szCs w:val="22"/>
        </w:rPr>
      </w:pPr>
      <w:r>
        <w:rPr>
          <w:sz w:val="22"/>
          <w:szCs w:val="22"/>
        </w:rPr>
        <w:t xml:space="preserve">Индивидуальному предпринимателю, не ведущему бухгалтерский учет, необходимо направить информационное письмо с указанием, что он относится к категории лиц, указанных в пп. 1 п. 2 ст. 6 Федерального закона от 06.12.2011 № 402-ФЗ «О бухгалтерском учете» и предоставить сведения о финансовом состоянии на последний отчетный год, заверенные печатью и подписью Индивидуального предпринимателя, сформированные по формам упрощенной бухгалтерской отчетности (сведения предоставляются без отметки налоговых органов): форма 0710001 по ОКУД (Бухгалтерский баланс), форма 0710002 по ОКУД (Отчет о финансовых результатах). </w:t>
      </w:r>
      <w:r w:rsidR="009B59A0" w:rsidRPr="00A77319">
        <w:rPr>
          <w:rFonts w:eastAsia="Times New Roman"/>
          <w:color w:val="auto"/>
          <w:sz w:val="22"/>
          <w:szCs w:val="22"/>
        </w:rPr>
        <w:t xml:space="preserve">При не предоставлении данной информации, Коэффициент </w:t>
      </w:r>
      <w:r w:rsidR="009B59A0" w:rsidRPr="00A77319">
        <w:rPr>
          <w:rFonts w:eastAsia="Times New Roman"/>
          <w:color w:val="auto"/>
          <w:sz w:val="22"/>
          <w:szCs w:val="22"/>
        </w:rPr>
        <w:lastRenderedPageBreak/>
        <w:t>финансовой устойчивости (пп. 4.1 Приложения № 2</w:t>
      </w:r>
      <w:r w:rsidR="009B59A0" w:rsidRPr="00A77319">
        <w:rPr>
          <w:color w:val="auto"/>
        </w:rPr>
        <w:t xml:space="preserve"> </w:t>
      </w:r>
      <w:r w:rsidR="009B59A0" w:rsidRPr="00A77319">
        <w:rPr>
          <w:rFonts w:eastAsia="Times New Roman"/>
          <w:color w:val="auto"/>
          <w:sz w:val="22"/>
          <w:szCs w:val="22"/>
        </w:rPr>
        <w:t>настоящего Регламента) оценивается исходя из значений «&gt; 0 – &lt;0,4», Коэффициент финансирования (пп. 4.1 Приложения № 2</w:t>
      </w:r>
      <w:r w:rsidR="009B59A0" w:rsidRPr="00A77319">
        <w:rPr>
          <w:color w:val="auto"/>
        </w:rPr>
        <w:t xml:space="preserve"> </w:t>
      </w:r>
      <w:r w:rsidR="009B59A0" w:rsidRPr="00A77319">
        <w:rPr>
          <w:rFonts w:eastAsia="Times New Roman"/>
          <w:color w:val="auto"/>
          <w:sz w:val="22"/>
          <w:szCs w:val="22"/>
        </w:rPr>
        <w:t>настоящего Регламента) оценивается исходя из значений «&gt; 0 – &lt;0,6».</w:t>
      </w:r>
    </w:p>
    <w:p w:rsidR="0056773A" w:rsidRPr="00A77319" w:rsidRDefault="009B59A0" w:rsidP="00C41F3B">
      <w:pPr>
        <w:pStyle w:val="Default"/>
        <w:spacing w:line="360" w:lineRule="auto"/>
        <w:ind w:left="708"/>
        <w:jc w:val="both"/>
        <w:rPr>
          <w:color w:val="auto"/>
          <w:sz w:val="22"/>
          <w:szCs w:val="22"/>
          <w:u w:val="single"/>
        </w:rPr>
      </w:pPr>
      <w:r w:rsidRPr="00A77319">
        <w:rPr>
          <w:rFonts w:eastAsia="Times New Roman"/>
          <w:color w:val="auto"/>
          <w:sz w:val="22"/>
          <w:szCs w:val="22"/>
        </w:rPr>
        <w:t>Для нерезидентов РФ</w:t>
      </w:r>
      <w:r w:rsidRPr="00A77319">
        <w:rPr>
          <w:color w:val="auto"/>
          <w:sz w:val="22"/>
          <w:szCs w:val="22"/>
        </w:rPr>
        <w:t xml:space="preserve"> – </w:t>
      </w:r>
      <w:r w:rsidRPr="00A77319">
        <w:rPr>
          <w:rFonts w:eastAsia="Times New Roman"/>
          <w:color w:val="auto"/>
          <w:sz w:val="22"/>
          <w:szCs w:val="22"/>
        </w:rPr>
        <w:t>юридических лиц</w:t>
      </w:r>
      <w:r w:rsidR="0056773A" w:rsidRPr="00A77319">
        <w:rPr>
          <w:color w:val="auto"/>
          <w:sz w:val="22"/>
          <w:szCs w:val="22"/>
        </w:rPr>
        <w:t>:</w:t>
      </w:r>
    </w:p>
    <w:p w:rsidR="0056773A" w:rsidRDefault="0056773A" w:rsidP="00C41F3B">
      <w:pPr>
        <w:pStyle w:val="Default"/>
        <w:numPr>
          <w:ilvl w:val="0"/>
          <w:numId w:val="12"/>
        </w:numPr>
        <w:spacing w:line="360" w:lineRule="auto"/>
        <w:ind w:left="426" w:hanging="426"/>
        <w:jc w:val="both"/>
        <w:rPr>
          <w:sz w:val="22"/>
          <w:szCs w:val="22"/>
        </w:rPr>
      </w:pPr>
      <w:r>
        <w:rPr>
          <w:sz w:val="22"/>
          <w:szCs w:val="22"/>
        </w:rPr>
        <w:t xml:space="preserve">копия информации о регистрации Участника закупки, а также данные об учредителях и собственниках Участника закупки, в виде выписки из торгового реестра, с приложением перевода на русский язык; </w:t>
      </w:r>
    </w:p>
    <w:p w:rsidR="0056773A" w:rsidRDefault="0056773A" w:rsidP="00C41F3B">
      <w:pPr>
        <w:pStyle w:val="Default"/>
        <w:numPr>
          <w:ilvl w:val="0"/>
          <w:numId w:val="12"/>
        </w:numPr>
        <w:spacing w:line="360" w:lineRule="auto"/>
        <w:ind w:left="426" w:hanging="426"/>
        <w:jc w:val="both"/>
        <w:rPr>
          <w:sz w:val="22"/>
          <w:szCs w:val="22"/>
        </w:rPr>
      </w:pPr>
      <w:r>
        <w:rPr>
          <w:sz w:val="22"/>
          <w:szCs w:val="22"/>
        </w:rPr>
        <w:t xml:space="preserve">в случае если документы подписываются по доверенности, представляется копия доверенности на лицо, подписывающее такие документы, с приложением перевода на русский язык; </w:t>
      </w:r>
    </w:p>
    <w:p w:rsidR="0056773A" w:rsidRDefault="0056773A" w:rsidP="00C41F3B">
      <w:pPr>
        <w:pStyle w:val="Default"/>
        <w:numPr>
          <w:ilvl w:val="0"/>
          <w:numId w:val="12"/>
        </w:numPr>
        <w:spacing w:line="360" w:lineRule="auto"/>
        <w:ind w:left="426" w:hanging="426"/>
        <w:jc w:val="both"/>
        <w:rPr>
          <w:sz w:val="22"/>
          <w:szCs w:val="22"/>
        </w:rPr>
      </w:pPr>
      <w:r>
        <w:rPr>
          <w:sz w:val="22"/>
          <w:szCs w:val="22"/>
        </w:rPr>
        <w:t xml:space="preserve">в случае если в соответствии с законодательством страны Участника закупки представление тех или иных документов невозможно – Участник закупки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 </w:t>
      </w:r>
    </w:p>
    <w:p w:rsidR="0056773A" w:rsidRDefault="0056773A" w:rsidP="00C41F3B">
      <w:pPr>
        <w:pStyle w:val="Default"/>
        <w:numPr>
          <w:ilvl w:val="0"/>
          <w:numId w:val="12"/>
        </w:numPr>
        <w:spacing w:line="360" w:lineRule="auto"/>
        <w:ind w:left="426" w:hanging="426"/>
        <w:jc w:val="both"/>
        <w:rPr>
          <w:sz w:val="22"/>
          <w:szCs w:val="22"/>
        </w:rPr>
      </w:pPr>
      <w:r>
        <w:rPr>
          <w:sz w:val="22"/>
          <w:szCs w:val="22"/>
        </w:rPr>
        <w:t xml:space="preserve">копия информации о регистрации Участника закупки в налоговых органах по месту юридической регистрации Участника закупки (TIN или аналогичный номер налогоплательщика по месту регистрации). </w:t>
      </w:r>
    </w:p>
    <w:p w:rsidR="0056773A" w:rsidRDefault="0056773A" w:rsidP="00C41F3B">
      <w:pPr>
        <w:pStyle w:val="Default"/>
        <w:spacing w:line="360" w:lineRule="auto"/>
        <w:ind w:firstLine="708"/>
        <w:jc w:val="both"/>
        <w:rPr>
          <w:sz w:val="22"/>
          <w:szCs w:val="22"/>
        </w:rPr>
      </w:pPr>
      <w:r>
        <w:rPr>
          <w:sz w:val="22"/>
          <w:szCs w:val="22"/>
        </w:rPr>
        <w:t xml:space="preserve">Финансовая отчетность для коммерческих и кредитных организаций (отчетность по стандартам IAS) за последний отчетный период и за последние 2 года по разделам (допускается не аудированная): </w:t>
      </w:r>
    </w:p>
    <w:p w:rsidR="0056773A" w:rsidRDefault="0056773A" w:rsidP="00C41F3B">
      <w:pPr>
        <w:pStyle w:val="Default"/>
        <w:numPr>
          <w:ilvl w:val="0"/>
          <w:numId w:val="12"/>
        </w:numPr>
        <w:spacing w:line="360" w:lineRule="auto"/>
        <w:ind w:left="426" w:hanging="426"/>
        <w:jc w:val="both"/>
        <w:rPr>
          <w:sz w:val="22"/>
          <w:szCs w:val="22"/>
        </w:rPr>
      </w:pPr>
      <w:r>
        <w:rPr>
          <w:sz w:val="22"/>
          <w:szCs w:val="22"/>
        </w:rPr>
        <w:t xml:space="preserve">Balance Sheet (Бухгалтерский баланс); </w:t>
      </w:r>
    </w:p>
    <w:p w:rsidR="0056773A" w:rsidRDefault="0056773A" w:rsidP="00C41F3B">
      <w:pPr>
        <w:pStyle w:val="Default"/>
        <w:numPr>
          <w:ilvl w:val="0"/>
          <w:numId w:val="12"/>
        </w:numPr>
        <w:spacing w:line="360" w:lineRule="auto"/>
        <w:ind w:left="426" w:hanging="426"/>
        <w:jc w:val="both"/>
        <w:rPr>
          <w:sz w:val="22"/>
          <w:szCs w:val="22"/>
        </w:rPr>
      </w:pPr>
      <w:r>
        <w:rPr>
          <w:sz w:val="22"/>
          <w:szCs w:val="22"/>
        </w:rPr>
        <w:t xml:space="preserve">Income Statement (Отчет о прибылях и убытках); </w:t>
      </w:r>
    </w:p>
    <w:p w:rsidR="0056773A" w:rsidRDefault="0056773A" w:rsidP="009B59A0">
      <w:pPr>
        <w:pStyle w:val="Default"/>
        <w:numPr>
          <w:ilvl w:val="0"/>
          <w:numId w:val="12"/>
        </w:numPr>
        <w:spacing w:line="360" w:lineRule="auto"/>
        <w:ind w:left="567" w:hanging="567"/>
        <w:jc w:val="both"/>
        <w:rPr>
          <w:sz w:val="22"/>
          <w:szCs w:val="22"/>
        </w:rPr>
      </w:pPr>
      <w:r>
        <w:rPr>
          <w:sz w:val="22"/>
          <w:szCs w:val="22"/>
        </w:rPr>
        <w:t xml:space="preserve">Cash Flow Statement (Отчет о движении денежных средств), только для кредитных организаций. </w:t>
      </w:r>
    </w:p>
    <w:p w:rsidR="009B59A0" w:rsidRPr="00A77319" w:rsidRDefault="009B59A0" w:rsidP="009B59A0">
      <w:pPr>
        <w:spacing w:after="0" w:line="360" w:lineRule="auto"/>
        <w:ind w:firstLine="709"/>
        <w:jc w:val="both"/>
        <w:rPr>
          <w:rFonts w:ascii="Tahoma" w:eastAsia="Times New Roman" w:hAnsi="Tahoma" w:cs="Tahoma"/>
        </w:rPr>
      </w:pPr>
      <w:r w:rsidRPr="00A77319">
        <w:rPr>
          <w:rFonts w:ascii="Tahoma" w:eastAsia="Times New Roman" w:hAnsi="Tahoma" w:cs="Tahoma"/>
        </w:rPr>
        <w:t>Для нерезидентов РФ – кредитных и финансовых организаций:</w:t>
      </w:r>
    </w:p>
    <w:p w:rsidR="009B59A0" w:rsidRPr="00A77319" w:rsidRDefault="009B59A0" w:rsidP="009B59A0">
      <w:pPr>
        <w:numPr>
          <w:ilvl w:val="0"/>
          <w:numId w:val="13"/>
        </w:numPr>
        <w:spacing w:after="0" w:line="360" w:lineRule="auto"/>
        <w:ind w:left="426" w:hanging="426"/>
        <w:jc w:val="both"/>
        <w:rPr>
          <w:rFonts w:ascii="Tahoma" w:eastAsia="Times New Roman" w:hAnsi="Tahoma" w:cs="Tahoma"/>
        </w:rPr>
      </w:pPr>
      <w:r w:rsidRPr="00A77319">
        <w:rPr>
          <w:rFonts w:ascii="Tahoma" w:eastAsia="Times New Roman" w:hAnsi="Tahoma" w:cs="Tahoma"/>
        </w:rPr>
        <w:t>информация о действующих кредитных рейтингах (из системы Bloomberg, Reuters, Cbonds).</w:t>
      </w:r>
    </w:p>
    <w:p w:rsidR="009B59A0" w:rsidRPr="00A77319" w:rsidRDefault="009B59A0" w:rsidP="009B59A0">
      <w:pPr>
        <w:numPr>
          <w:ilvl w:val="0"/>
          <w:numId w:val="13"/>
        </w:numPr>
        <w:spacing w:after="0" w:line="360" w:lineRule="auto"/>
        <w:ind w:left="426" w:hanging="426"/>
        <w:jc w:val="both"/>
        <w:rPr>
          <w:rFonts w:ascii="Tahoma" w:eastAsia="Times New Roman" w:hAnsi="Tahoma" w:cs="Tahoma"/>
        </w:rPr>
      </w:pPr>
      <w:r w:rsidRPr="00A77319">
        <w:rPr>
          <w:rFonts w:ascii="Tahoma" w:eastAsia="Times New Roman" w:hAnsi="Tahoma" w:cs="Tahoma"/>
        </w:rPr>
        <w:t>копия документа, подтверждающего полномочия единоличного исполнительного органа и, в случае если документы подписываются по доверенности, копию доверенности на лицо, подписывающее документы.</w:t>
      </w:r>
    </w:p>
    <w:p w:rsidR="0056773A" w:rsidRDefault="0056773A" w:rsidP="009B59A0">
      <w:pPr>
        <w:pStyle w:val="Default"/>
        <w:spacing w:line="360" w:lineRule="auto"/>
        <w:ind w:firstLine="708"/>
        <w:jc w:val="both"/>
        <w:rPr>
          <w:sz w:val="22"/>
          <w:szCs w:val="22"/>
        </w:rPr>
      </w:pPr>
      <w:r>
        <w:rPr>
          <w:sz w:val="22"/>
          <w:szCs w:val="22"/>
        </w:rPr>
        <w:t xml:space="preserve">Язык представления отчетности: на любом языке потенциального контрагента с переводом на русский, либо английский язык. </w:t>
      </w:r>
    </w:p>
    <w:p w:rsidR="0056773A" w:rsidRDefault="0056773A" w:rsidP="00C41F3B">
      <w:pPr>
        <w:pStyle w:val="Default"/>
        <w:spacing w:line="360" w:lineRule="auto"/>
        <w:ind w:firstLine="708"/>
        <w:jc w:val="both"/>
        <w:rPr>
          <w:sz w:val="22"/>
          <w:szCs w:val="22"/>
        </w:rPr>
      </w:pPr>
      <w:r>
        <w:rPr>
          <w:sz w:val="22"/>
          <w:szCs w:val="22"/>
        </w:rPr>
        <w:t xml:space="preserve">2. Требования к оформлению комплекта документов. </w:t>
      </w:r>
    </w:p>
    <w:p w:rsidR="0056773A" w:rsidRDefault="0056773A" w:rsidP="00C41F3B">
      <w:pPr>
        <w:pStyle w:val="Default"/>
        <w:spacing w:line="360" w:lineRule="auto"/>
        <w:ind w:firstLine="708"/>
        <w:jc w:val="both"/>
        <w:rPr>
          <w:sz w:val="22"/>
          <w:szCs w:val="22"/>
        </w:rPr>
      </w:pPr>
      <w:r>
        <w:rPr>
          <w:sz w:val="22"/>
          <w:szCs w:val="22"/>
        </w:rPr>
        <w:t xml:space="preserve">2.1. Требования к оформлению комплекта документов, представляемых на бумажном носителе. </w:t>
      </w:r>
    </w:p>
    <w:p w:rsidR="0056773A" w:rsidRDefault="0056773A" w:rsidP="00EC2F93">
      <w:pPr>
        <w:pStyle w:val="Default"/>
        <w:numPr>
          <w:ilvl w:val="0"/>
          <w:numId w:val="12"/>
        </w:numPr>
        <w:spacing w:line="360" w:lineRule="auto"/>
        <w:ind w:left="426" w:hanging="426"/>
        <w:jc w:val="both"/>
        <w:rPr>
          <w:sz w:val="22"/>
          <w:szCs w:val="22"/>
        </w:rPr>
      </w:pPr>
      <w:r>
        <w:rPr>
          <w:sz w:val="22"/>
          <w:szCs w:val="22"/>
        </w:rPr>
        <w:lastRenderedPageBreak/>
        <w:t xml:space="preserve">в случае подачи документов в конверте, документы представляются в 1 экземпляре. Пакет документов включает в себя все документы, указанные в п. 1-2;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в конверт с документами Участник закупки дополнительно вкладывает электронный носитель информации (CD-диск или Flash-накопитель), содержащий полную электронную (сканированную) версию всех представленных документов;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документы направляются Участником закупки в запечатанном конверте с сопроводительным письмом с исходящим номером и датой регистрации. </w:t>
      </w:r>
    </w:p>
    <w:p w:rsidR="0056773A" w:rsidRDefault="0056773A" w:rsidP="00EC2F93">
      <w:pPr>
        <w:pStyle w:val="Default"/>
        <w:spacing w:line="360" w:lineRule="auto"/>
        <w:ind w:firstLine="708"/>
        <w:jc w:val="both"/>
        <w:rPr>
          <w:sz w:val="22"/>
          <w:szCs w:val="22"/>
        </w:rPr>
      </w:pPr>
      <w:r>
        <w:rPr>
          <w:sz w:val="22"/>
          <w:szCs w:val="22"/>
        </w:rPr>
        <w:t xml:space="preserve">2.2. Требования к оформлению документов, представляемых в электронном виде: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в случае подачи документов через функционал ЭТП или при предоставлении документов в электронном виде, пакет документов должен содержать электронные копии документов, указанных в п. 1-2;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каждый документ должен быть представлен отдельным файлом в формате *.pdf или в графическом формате *.jpg в качестве, пригодном для чтения, и поименован в соответствии с представляемым документом;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копии документов, предоставляемые в бумажном виде, должны быть заверены подписью уполномоченного лица и, при наличии, заверены печатью организации (неприменимо к документам, предоставляемым через функционал ЭТП);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подача документов через ЭТП должна производиться в соответствии с документами, регламентирующими работу ЭТП (инструкциями, регламентом);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каждый Участник вправе подавать документацию только от своего лица, не допускается подача документов за других Участников закупки/Субподрядчиков и т.д.; </w:t>
      </w:r>
    </w:p>
    <w:p w:rsidR="0056773A" w:rsidRDefault="0056773A" w:rsidP="00EC2F93">
      <w:pPr>
        <w:pStyle w:val="Default"/>
        <w:numPr>
          <w:ilvl w:val="0"/>
          <w:numId w:val="12"/>
        </w:numPr>
        <w:spacing w:line="360" w:lineRule="auto"/>
        <w:ind w:left="426" w:hanging="426"/>
        <w:jc w:val="both"/>
        <w:rPr>
          <w:sz w:val="22"/>
          <w:szCs w:val="22"/>
        </w:rPr>
      </w:pPr>
      <w:r>
        <w:rPr>
          <w:sz w:val="22"/>
          <w:szCs w:val="22"/>
        </w:rPr>
        <w:t xml:space="preserve">если в закупке участвует коллективный участник, документация подается участником закупки, на стороне которого участвует группа лиц, в отношении каждого такого лица. </w:t>
      </w:r>
    </w:p>
    <w:p w:rsidR="0056773A" w:rsidRDefault="0056773A" w:rsidP="00EC2F93">
      <w:pPr>
        <w:pStyle w:val="Default"/>
        <w:spacing w:line="360" w:lineRule="auto"/>
        <w:ind w:firstLine="708"/>
        <w:jc w:val="both"/>
        <w:rPr>
          <w:sz w:val="22"/>
          <w:szCs w:val="22"/>
        </w:rPr>
      </w:pPr>
      <w:r>
        <w:rPr>
          <w:sz w:val="22"/>
          <w:szCs w:val="22"/>
        </w:rPr>
        <w:t xml:space="preserve">3. Язык предоставления документов. </w:t>
      </w:r>
    </w:p>
    <w:p w:rsidR="0056773A" w:rsidRDefault="0056773A" w:rsidP="00EC2F93">
      <w:pPr>
        <w:pStyle w:val="Default"/>
        <w:spacing w:line="360" w:lineRule="auto"/>
        <w:ind w:firstLine="708"/>
        <w:jc w:val="both"/>
        <w:rPr>
          <w:sz w:val="22"/>
          <w:szCs w:val="22"/>
        </w:rPr>
      </w:pPr>
      <w:r>
        <w:rPr>
          <w:sz w:val="22"/>
          <w:szCs w:val="22"/>
        </w:rPr>
        <w:t>Все документы должны быть составлены на русском языке или иметь перевод на русский язык. Допускается предоставление документов с переводом на русский язык, либо английский язык.</w:t>
      </w:r>
    </w:p>
    <w:sectPr w:rsidR="0056773A" w:rsidSect="000A3C7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2E4" w:rsidRDefault="008212E4" w:rsidP="009B59A0">
      <w:pPr>
        <w:spacing w:after="0" w:line="240" w:lineRule="auto"/>
      </w:pPr>
      <w:r>
        <w:separator/>
      </w:r>
    </w:p>
  </w:endnote>
  <w:endnote w:type="continuationSeparator" w:id="0">
    <w:p w:rsidR="008212E4" w:rsidRDefault="008212E4" w:rsidP="009B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2E4" w:rsidRDefault="008212E4" w:rsidP="009B59A0">
      <w:pPr>
        <w:spacing w:after="0" w:line="240" w:lineRule="auto"/>
      </w:pPr>
      <w:r>
        <w:separator/>
      </w:r>
    </w:p>
  </w:footnote>
  <w:footnote w:type="continuationSeparator" w:id="0">
    <w:p w:rsidR="008212E4" w:rsidRDefault="008212E4" w:rsidP="009B5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2F0107"/>
    <w:multiLevelType w:val="hybridMultilevel"/>
    <w:tmpl w:val="20CB2A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DA830E"/>
    <w:multiLevelType w:val="hybridMultilevel"/>
    <w:tmpl w:val="204997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515673"/>
    <w:multiLevelType w:val="hybridMultilevel"/>
    <w:tmpl w:val="79F349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4E3F31"/>
    <w:multiLevelType w:val="hybridMultilevel"/>
    <w:tmpl w:val="2F0919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90A131E"/>
    <w:multiLevelType w:val="hybridMultilevel"/>
    <w:tmpl w:val="F9BF3A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1223CD"/>
    <w:multiLevelType w:val="hybridMultilevel"/>
    <w:tmpl w:val="88BA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D417A8C"/>
    <w:multiLevelType w:val="hybridMultilevel"/>
    <w:tmpl w:val="34642A66"/>
    <w:lvl w:ilvl="0" w:tplc="202C7EFA">
      <w:start w:val="1"/>
      <w:numFmt w:val="bullet"/>
      <w:lvlText w:val="—"/>
      <w:lvlJc w:val="left"/>
      <w:pPr>
        <w:ind w:left="674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5A90F6"/>
    <w:multiLevelType w:val="hybridMultilevel"/>
    <w:tmpl w:val="6A943DF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B63F9C"/>
    <w:multiLevelType w:val="hybridMultilevel"/>
    <w:tmpl w:val="FA3C7F6A"/>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124A45"/>
    <w:multiLevelType w:val="hybridMultilevel"/>
    <w:tmpl w:val="EF424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17E1D9"/>
    <w:multiLevelType w:val="hybridMultilevel"/>
    <w:tmpl w:val="9C1DA6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F51145"/>
    <w:multiLevelType w:val="hybridMultilevel"/>
    <w:tmpl w:val="708E84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269774"/>
    <w:multiLevelType w:val="hybridMultilevel"/>
    <w:tmpl w:val="7444AF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5"/>
  </w:num>
  <w:num w:numId="3">
    <w:abstractNumId w:val="1"/>
  </w:num>
  <w:num w:numId="4">
    <w:abstractNumId w:val="3"/>
  </w:num>
  <w:num w:numId="5">
    <w:abstractNumId w:val="0"/>
  </w:num>
  <w:num w:numId="6">
    <w:abstractNumId w:val="10"/>
  </w:num>
  <w:num w:numId="7">
    <w:abstractNumId w:val="4"/>
  </w:num>
  <w:num w:numId="8">
    <w:abstractNumId w:val="2"/>
  </w:num>
  <w:num w:numId="9">
    <w:abstractNumId w:val="7"/>
  </w:num>
  <w:num w:numId="10">
    <w:abstractNumId w:val="12"/>
  </w:num>
  <w:num w:numId="11">
    <w:abstractNumId w:val="9"/>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21"/>
    <w:rsid w:val="00095873"/>
    <w:rsid w:val="000A3C70"/>
    <w:rsid w:val="002D769F"/>
    <w:rsid w:val="00565CB5"/>
    <w:rsid w:val="0056773A"/>
    <w:rsid w:val="007B2C77"/>
    <w:rsid w:val="007E5821"/>
    <w:rsid w:val="008212E4"/>
    <w:rsid w:val="009B59A0"/>
    <w:rsid w:val="00A77319"/>
    <w:rsid w:val="00B846E4"/>
    <w:rsid w:val="00C41F3B"/>
    <w:rsid w:val="00C9071D"/>
    <w:rsid w:val="00CD7758"/>
    <w:rsid w:val="00D1304F"/>
    <w:rsid w:val="00EC2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5C8D"/>
  <w15:chartTrackingRefBased/>
  <w15:docId w15:val="{71D46BF8-FA15-4177-B535-1C91B3A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uiPriority w:val="9"/>
    <w:semiHidden/>
    <w:unhideWhenUsed/>
    <w:qFormat/>
    <w:rsid w:val="009B59A0"/>
    <w:pPr>
      <w:keepNext/>
      <w:keepLines/>
      <w:spacing w:before="200" w:after="0" w:line="240" w:lineRule="auto"/>
      <w:outlineLvl w:val="5"/>
    </w:pPr>
    <w:rPr>
      <w:rFonts w:ascii="Cambria" w:eastAsia="Times New Roman" w:hAnsi="Cambria" w:cs="Times New Roman"/>
      <w:i/>
      <w:iCs/>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A3C70"/>
    <w:pPr>
      <w:autoSpaceDE w:val="0"/>
      <w:autoSpaceDN w:val="0"/>
      <w:adjustRightInd w:val="0"/>
      <w:spacing w:after="0" w:line="240" w:lineRule="auto"/>
    </w:pPr>
    <w:rPr>
      <w:rFonts w:ascii="Tahoma" w:hAnsi="Tahoma" w:cs="Tahoma"/>
      <w:color w:val="000000"/>
      <w:sz w:val="24"/>
      <w:szCs w:val="24"/>
    </w:rPr>
  </w:style>
  <w:style w:type="character" w:customStyle="1" w:styleId="60">
    <w:name w:val="Заголовок 6 Знак"/>
    <w:basedOn w:val="a0"/>
    <w:link w:val="6"/>
    <w:uiPriority w:val="9"/>
    <w:semiHidden/>
    <w:rsid w:val="009B59A0"/>
    <w:rPr>
      <w:rFonts w:ascii="Cambria" w:eastAsia="Times New Roman" w:hAnsi="Cambria" w:cs="Times New Roman"/>
      <w:i/>
      <w:iCs/>
      <w:color w:val="243F60"/>
      <w:sz w:val="20"/>
      <w:szCs w:val="20"/>
      <w:lang w:eastAsia="ru-RU"/>
    </w:rPr>
  </w:style>
  <w:style w:type="paragraph" w:styleId="a3">
    <w:name w:val="footnote text"/>
    <w:basedOn w:val="a"/>
    <w:link w:val="a4"/>
    <w:uiPriority w:val="99"/>
    <w:unhideWhenUsed/>
    <w:rsid w:val="009B59A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4">
    <w:name w:val="Текст сноски Знак"/>
    <w:basedOn w:val="a0"/>
    <w:link w:val="a3"/>
    <w:uiPriority w:val="99"/>
    <w:rsid w:val="009B59A0"/>
    <w:rPr>
      <w:rFonts w:ascii="Times New Roman" w:eastAsiaTheme="minorEastAsia" w:hAnsi="Times New Roman" w:cs="Times New Roman"/>
      <w:sz w:val="20"/>
      <w:szCs w:val="20"/>
      <w:lang w:eastAsia="ru-RU"/>
    </w:rPr>
  </w:style>
  <w:style w:type="character" w:styleId="a5">
    <w:name w:val="footnote reference"/>
    <w:basedOn w:val="a0"/>
    <w:uiPriority w:val="99"/>
    <w:semiHidden/>
    <w:unhideWhenUsed/>
    <w:rsid w:val="009B59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1269</Words>
  <Characters>7237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Осташов Анатолий Петрович</dc:creator>
  <cp:keywords/>
  <dc:description/>
  <cp:lastModifiedBy>Осташов Анатолий Петрович</cp:lastModifiedBy>
  <cp:revision>12</cp:revision>
  <dcterms:created xsi:type="dcterms:W3CDTF">2023-12-12T08:49:00Z</dcterms:created>
  <dcterms:modified xsi:type="dcterms:W3CDTF">2023-12-20T15:17:00Z</dcterms:modified>
</cp:coreProperties>
</file>